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spacing w:after="80" w:before="360" w:lineRule="auto"/>
        <w:jc w:val="center"/>
        <w:rPr>
          <w:b w:val="1"/>
          <w:bCs w:val="1"/>
          <w:sz w:val="36"/>
          <w:szCs w:val="36"/>
        </w:rPr>
      </w:pPr>
      <w:bookmarkStart w:colFirst="0" w:colLast="0" w:name="_dpnbsarpe5zv" w:id="0"/>
      <w:bookmarkEnd w:id="0"/>
      <w:r w:rsidDel="00000000" w:rsidR="00000000" w:rsidRPr="00000000">
        <w:rPr>
          <w:rtl w:val="0"/>
        </w:rPr>
        <w:t xml:space="preserve">Digital Twin of a Breadboard</w:t>
      </w:r>
      <w:r w:rsidDel="00000000" w:rsidR="00000000" w:rsidRPr="00000000">
        <w:rPr>
          <w:rtl w:val="0"/>
        </w:rPr>
      </w:r>
    </w:p>
    <w:p w:rsidR="00000000" w:rsidDel="00000000" w:rsidP="00000000" w:rsidRDefault="00000000" w:rsidRPr="00000000" w14:paraId="00000002">
      <w:pPr>
        <w:spacing w:after="240" w:before="240" w:lineRule="auto"/>
        <w:jc w:val="center"/>
        <w:rPr>
          <w:sz w:val="24"/>
          <w:szCs w:val="24"/>
        </w:rPr>
      </w:pPr>
      <w:r w:rsidDel="00000000" w:rsidR="00000000" w:rsidRPr="00000000">
        <w:rPr>
          <w:sz w:val="24"/>
          <w:szCs w:val="24"/>
          <w:rtl w:val="0"/>
        </w:rPr>
        <w:t xml:space="preserve">Hardware: </w:t>
      </w:r>
      <w:r w:rsidDel="00000000" w:rsidR="00000000" w:rsidRPr="00000000">
        <w:rPr>
          <w:sz w:val="24"/>
          <w:szCs w:val="24"/>
          <w:rtl w:val="0"/>
        </w:rPr>
        <w:t xml:space="preserve">FPGA</w:t>
      </w:r>
      <w:r w:rsidDel="00000000" w:rsidR="00000000" w:rsidRPr="00000000">
        <w:rPr>
          <w:sz w:val="24"/>
          <w:szCs w:val="24"/>
          <w:rtl w:val="0"/>
        </w:rPr>
        <w:br w:type="textWrapping"/>
        <w:t xml:space="preserve">Language: </w:t>
      </w:r>
      <w:r w:rsidDel="00000000" w:rsidR="00000000" w:rsidRPr="00000000">
        <w:rPr>
          <w:sz w:val="24"/>
          <w:szCs w:val="24"/>
          <w:rtl w:val="0"/>
        </w:rPr>
        <w:t xml:space="preserve">English</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sz w:val="24"/>
          <w:szCs w:val="24"/>
        </w:rPr>
        <w:drawing>
          <wp:inline distB="114300" distT="114300" distL="114300" distR="114300">
            <wp:extent cx="2676525" cy="2676525"/>
            <wp:effectExtent b="0" l="0" r="0" t="0"/>
            <wp:docPr id="1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676525"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sz w:val="24"/>
          <w:szCs w:val="24"/>
        </w:rPr>
      </w:pPr>
      <w:r w:rsidDel="00000000" w:rsidR="00000000" w:rsidRPr="00000000">
        <w:rPr>
          <w:sz w:val="24"/>
          <w:szCs w:val="24"/>
        </w:rPr>
        <w:drawing>
          <wp:inline distB="114300" distT="114300" distL="114300" distR="114300">
            <wp:extent cx="2805113" cy="1654661"/>
            <wp:effectExtent b="0" l="0" r="0" t="0"/>
            <wp:docPr id="1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05113" cy="165466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6">
      <w:pPr>
        <w:pStyle w:val="Heading1"/>
        <w:spacing w:after="200" w:before="360" w:lineRule="auto"/>
        <w:rPr>
          <w:b w:val="1"/>
          <w:bCs w:val="1"/>
          <w:sz w:val="36"/>
          <w:szCs w:val="36"/>
        </w:rPr>
      </w:pPr>
      <w:bookmarkStart w:colFirst="0" w:colLast="0" w:name="_11d55d5ge2jq" w:id="1"/>
      <w:bookmarkEnd w:id="1"/>
      <w:r w:rsidDel="00000000" w:rsidR="00000000" w:rsidRPr="00000000">
        <w:rPr>
          <w:b w:val="1"/>
          <w:bCs w:val="1"/>
          <w:sz w:val="36"/>
          <w:szCs w:val="36"/>
          <w:rtl w:val="0"/>
        </w:rPr>
        <w:t xml:space="preserve">Table of Contents</w:t>
      </w:r>
    </w:p>
    <w:sdt>
      <w:sdtPr>
        <w:id w:val="2123606555"/>
        <w:docPartObj>
          <w:docPartGallery w:val="Table of Contents"/>
          <w:docPartUnique w:val="1"/>
        </w:docPartObj>
      </w:sdtPr>
      <w:sdtContent>
        <w:p w:rsidR="00000000" w:rsidDel="00000000" w:rsidP="00000000" w:rsidRDefault="00000000" w:rsidRPr="00000000" w14:paraId="0000000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4,4,Heading 5,5,Heading 6,6,"</w:instrText>
            <w:fldChar w:fldCharType="separate"/>
          </w:r>
          <w:hyperlink w:anchor="_dpnbsarpe5zv">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Digital Twin of a Breadboard</w:t>
              <w:tab/>
              <w:t xml:space="preserve">1</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11d55d5ge2jq">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dbh7hwh26jx">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Defining Remote and Simulated Laboratories</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fozoheqm43ed">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Simulation Overview</w:t>
              <w:tab/>
              <w:t xml:space="preserve">4</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4l89rjiwviz2">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Simulation Components</w:t>
              <w:tab/>
              <w:t xml:space="preserve">9</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oa6yaka6nhc">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GPIO Mappings (Pinout is shown in Figure 9)</w:t>
              <w:tab/>
              <w:t xml:space="preserve">10</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ohvpclripex">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Possible Specifications</w:t>
              <w:tab/>
              <w:t xml:space="preserve">11</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mf8ppajmu4d">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Suggested Learning Objectives</w:t>
              <w:tab/>
              <w:t xml:space="preserve">12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rPr>
          <w:b w:val="1"/>
          <w:bCs w:val="1"/>
          <w:sz w:val="36"/>
          <w:szCs w:val="36"/>
        </w:rPr>
      </w:pPr>
      <w:bookmarkStart w:colFirst="0" w:colLast="0" w:name="_8dbh7hwh26jx" w:id="2"/>
      <w:bookmarkEnd w:id="2"/>
      <w:r w:rsidDel="00000000" w:rsidR="00000000" w:rsidRPr="00000000">
        <w:rPr>
          <w:rtl w:val="0"/>
        </w:rPr>
        <w:t xml:space="preserve">1. Defining Remote and Simulated Laboratories</w:t>
      </w:r>
      <w:r w:rsidDel="00000000" w:rsidR="00000000" w:rsidRPr="00000000">
        <w:rPr>
          <w:b w:val="1"/>
          <w:bCs w:val="1"/>
          <w:sz w:val="36"/>
          <w:szCs w:val="36"/>
          <w:rtl w:val="0"/>
        </w:rPr>
        <w:t xml:space="preserve"> </w:t>
      </w:r>
    </w:p>
    <w:p w:rsidR="00000000" w:rsidDel="00000000" w:rsidP="00000000" w:rsidRDefault="00000000" w:rsidRPr="00000000" w14:paraId="00000011">
      <w:pPr>
        <w:pStyle w:val="Heading2"/>
        <w:spacing w:after="200" w:before="0" w:lineRule="auto"/>
        <w:rPr>
          <w:b w:val="1"/>
          <w:bCs w:val="1"/>
          <w:sz w:val="28"/>
          <w:szCs w:val="28"/>
        </w:rPr>
      </w:pPr>
      <w:bookmarkStart w:colFirst="0" w:colLast="0" w:name="_e8o0bjub0ll3" w:id="3"/>
      <w:bookmarkEnd w:id="3"/>
      <w:r w:rsidDel="00000000" w:rsidR="00000000" w:rsidRPr="00000000">
        <w:rPr>
          <w:b w:val="1"/>
          <w:bCs w:val="1"/>
          <w:sz w:val="28"/>
          <w:szCs w:val="28"/>
          <w:rtl w:val="0"/>
        </w:rPr>
        <w:t xml:space="preserve">What is a Remote Laboratory?</w:t>
      </w:r>
    </w:p>
    <w:p w:rsidR="00000000" w:rsidDel="00000000" w:rsidP="00000000" w:rsidRDefault="00000000" w:rsidRPr="00000000" w14:paraId="00000012">
      <w:pPr>
        <w:rPr>
          <w:sz w:val="24"/>
          <w:szCs w:val="24"/>
        </w:rPr>
      </w:pPr>
      <w:r w:rsidDel="00000000" w:rsidR="00000000" w:rsidRPr="00000000">
        <w:rPr>
          <w:sz w:val="24"/>
          <w:szCs w:val="24"/>
          <w:rtl w:val="0"/>
        </w:rPr>
        <w:t xml:space="preserve">Remote laboratories are systems that combine hardware and software to allow students to perform real educational experiments over the Internet. In other words, students can control physical lab equipment and collect real data remotely, without being physically present in the laboratory.</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These labs remove space and time barriers, allowing students to practice anytime, increasing the experience essential for STEM learning. They also encourage active and inquiry-based learning, promoting autonomy since students can work independently of instructors and lab hours.</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pStyle w:val="Heading2"/>
        <w:spacing w:after="200" w:before="0" w:lineRule="auto"/>
        <w:rPr>
          <w:b w:val="1"/>
          <w:bCs w:val="1"/>
          <w:sz w:val="28"/>
          <w:szCs w:val="28"/>
        </w:rPr>
      </w:pPr>
      <w:bookmarkStart w:colFirst="0" w:colLast="0" w:name="_spsbqxyh7b3y" w:id="4"/>
      <w:bookmarkEnd w:id="4"/>
      <w:r w:rsidDel="00000000" w:rsidR="00000000" w:rsidRPr="00000000">
        <w:rPr>
          <w:b w:val="1"/>
          <w:bCs w:val="1"/>
          <w:sz w:val="28"/>
          <w:szCs w:val="28"/>
          <w:rtl w:val="0"/>
        </w:rPr>
        <w:t xml:space="preserve">What is a Simulated Laboratory?</w:t>
      </w:r>
    </w:p>
    <w:p w:rsidR="00000000" w:rsidDel="00000000" w:rsidP="00000000" w:rsidRDefault="00000000" w:rsidRPr="00000000" w14:paraId="00000017">
      <w:pPr>
        <w:rPr>
          <w:sz w:val="24"/>
          <w:szCs w:val="24"/>
          <w:highlight w:val="yellow"/>
        </w:rPr>
      </w:pPr>
      <w:r w:rsidDel="00000000" w:rsidR="00000000" w:rsidRPr="00000000">
        <w:rPr>
          <w:sz w:val="24"/>
          <w:szCs w:val="24"/>
          <w:rtl w:val="0"/>
        </w:rPr>
        <w:t xml:space="preserve">Remote laboratories provide students with,</w:t>
      </w:r>
      <w:r w:rsidDel="00000000" w:rsidR="00000000" w:rsidRPr="00000000">
        <w:rPr>
          <w:sz w:val="24"/>
          <w:szCs w:val="24"/>
          <w:rtl w:val="0"/>
        </w:rPr>
        <w:t xml:space="preserve"> over the Internet</w:t>
      </w:r>
      <w:r w:rsidDel="00000000" w:rsidR="00000000" w:rsidRPr="00000000">
        <w:rPr>
          <w:sz w:val="24"/>
          <w:szCs w:val="24"/>
          <w:rtl w:val="0"/>
        </w:rPr>
        <w:t xml:space="preserve">, access to real hardware hosted in a server roo</w:t>
      </w:r>
      <w:r w:rsidDel="00000000" w:rsidR="00000000" w:rsidRPr="00000000">
        <w:rPr>
          <w:sz w:val="24"/>
          <w:szCs w:val="24"/>
          <w:rtl w:val="0"/>
        </w:rPr>
        <w:t xml:space="preserve">m, </w:t>
      </w:r>
      <w:r w:rsidDel="00000000" w:rsidR="00000000" w:rsidRPr="00000000">
        <w:rPr>
          <w:sz w:val="24"/>
          <w:szCs w:val="24"/>
          <w:rtl w:val="0"/>
        </w:rPr>
        <w:t xml:space="preserve">while s</w:t>
      </w:r>
      <w:r w:rsidDel="00000000" w:rsidR="00000000" w:rsidRPr="00000000">
        <w:rPr>
          <w:sz w:val="24"/>
          <w:szCs w:val="24"/>
          <w:rtl w:val="0"/>
        </w:rPr>
        <w:t xml:space="preserve">imulated laboratories virtualize the inputs, outputs, and internal behavior of hardware and entire systems</w:t>
      </w:r>
      <w:r w:rsidDel="00000000" w:rsidR="00000000" w:rsidRPr="00000000">
        <w:rPr>
          <w:sz w:val="24"/>
          <w:szCs w:val="24"/>
          <w:rtl w:val="0"/>
        </w:rPr>
        <w:t xml:space="preserve">. This allows students to work with unique and engaging systems that remote laboratories could not support, such as entire industrial dams, arcade machines, communication networks, and other expensive or niche hardware.</w:t>
      </w:r>
      <w:r w:rsidDel="00000000" w:rsidR="00000000" w:rsidRPr="00000000">
        <w:rPr>
          <w:rtl w:val="0"/>
        </w:rPr>
      </w:r>
    </w:p>
    <w:p w:rsidR="00000000" w:rsidDel="00000000" w:rsidP="00000000" w:rsidRDefault="00000000" w:rsidRPr="00000000" w14:paraId="00000018">
      <w:pPr>
        <w:rPr>
          <w:sz w:val="24"/>
          <w:szCs w:val="24"/>
          <w:highlight w:val="yellow"/>
        </w:rPr>
      </w:pPr>
      <w:r w:rsidDel="00000000" w:rsidR="00000000" w:rsidRPr="00000000">
        <w:rPr>
          <w:rtl w:val="0"/>
        </w:rPr>
      </w:r>
    </w:p>
    <w:p w:rsidR="00000000" w:rsidDel="00000000" w:rsidP="00000000" w:rsidRDefault="00000000" w:rsidRPr="00000000" w14:paraId="00000019">
      <w:pPr>
        <w:pStyle w:val="Heading2"/>
        <w:spacing w:after="200" w:before="0" w:lineRule="auto"/>
        <w:rPr>
          <w:b w:val="1"/>
          <w:bCs w:val="1"/>
          <w:sz w:val="28"/>
          <w:szCs w:val="28"/>
        </w:rPr>
      </w:pPr>
      <w:bookmarkStart w:colFirst="0" w:colLast="0" w:name="_3mm4oec9s3kw" w:id="5"/>
      <w:bookmarkEnd w:id="5"/>
      <w:r w:rsidDel="00000000" w:rsidR="00000000" w:rsidRPr="00000000">
        <w:rPr>
          <w:b w:val="1"/>
          <w:bCs w:val="1"/>
          <w:sz w:val="28"/>
          <w:szCs w:val="28"/>
          <w:rtl w:val="0"/>
        </w:rPr>
        <w:t xml:space="preserve">REDTAIL Hardware + Simulation Context</w:t>
      </w:r>
    </w:p>
    <w:p w:rsidR="00000000" w:rsidDel="00000000" w:rsidP="00000000" w:rsidRDefault="00000000" w:rsidRPr="00000000" w14:paraId="0000001A">
      <w:pPr>
        <w:rPr>
          <w:sz w:val="24"/>
          <w:szCs w:val="24"/>
        </w:rPr>
      </w:pPr>
      <w:r w:rsidDel="00000000" w:rsidR="00000000" w:rsidRPr="00000000">
        <w:rPr>
          <w:sz w:val="24"/>
          <w:szCs w:val="24"/>
          <w:rtl w:val="0"/>
        </w:rPr>
        <w:t xml:space="preserve">REDTAIL is a Remote Laboratory Simulation framework developed by LabsLand and the Remote Hub Lab at the University of Washington.</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In REDTAIL, students write or upload code through a LabsLand web IDE. Their code is compiled and deployed to real physical devices (e.g., FPGAs and microcontrollers) that communicate bidirectionally with other devices running an instructor-selected simulation. These simulation devices communicate with LabsLand servers, allowing students to interact with and control the simulation via a web interface. This enables them to test their code in real time, as they would with a physical device or environment.</w:t>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Each simulation can support many different lab assignments. We provide example specifications for each simulation, but instructors are welcome to create their own.</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pStyle w:val="Heading1"/>
        <w:spacing w:after="0" w:before="0" w:lineRule="auto"/>
        <w:rPr/>
      </w:pPr>
      <w:bookmarkStart w:colFirst="0" w:colLast="0" w:name="_fozoheqm43ed" w:id="6"/>
      <w:bookmarkEnd w:id="6"/>
      <w:r w:rsidDel="00000000" w:rsidR="00000000" w:rsidRPr="00000000">
        <w:rPr>
          <w:rtl w:val="0"/>
        </w:rPr>
        <w:t xml:space="preserve">2. Simulation Overview</w:t>
      </w:r>
    </w:p>
    <w:p w:rsidR="00000000" w:rsidDel="00000000" w:rsidP="00000000" w:rsidRDefault="00000000" w:rsidRPr="00000000" w14:paraId="00000022">
      <w:pPr>
        <w:rPr>
          <w:sz w:val="24"/>
          <w:szCs w:val="24"/>
        </w:rPr>
      </w:pPr>
      <w:r w:rsidDel="00000000" w:rsidR="00000000" w:rsidRPr="00000000">
        <w:rPr>
          <w:sz w:val="24"/>
          <w:szCs w:val="24"/>
          <w:rtl w:val="0"/>
        </w:rPr>
        <w:t xml:space="preserve">The digital twin of a breadboard enables students to create circuits using electronic components commonly taught in introductory digital circuit design courses.</w:t>
      </w:r>
    </w:p>
    <w:p w:rsidR="00000000" w:rsidDel="00000000" w:rsidP="00000000" w:rsidRDefault="00000000" w:rsidRPr="00000000" w14:paraId="00000023">
      <w:pPr>
        <w:rPr/>
      </w:pPr>
      <w:r w:rsidDel="00000000" w:rsidR="00000000" w:rsidRPr="00000000">
        <w:rPr/>
        <w:drawing>
          <wp:inline distB="114300" distT="114300" distL="114300" distR="114300">
            <wp:extent cx="5943600" cy="3200400"/>
            <wp:effectExtent b="0" l="0" r="0" t="0"/>
            <wp:docPr id="13"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sz w:val="24"/>
          <w:szCs w:val="24"/>
          <w:rtl w:val="0"/>
        </w:rPr>
        <w:t xml:space="preserve">Figure 1. Image of the DE1-SoC development board (top) and the digital twin of a breadboard (bottom).</w:t>
      </w:r>
    </w:p>
    <w:p w:rsidR="00000000" w:rsidDel="00000000" w:rsidP="00000000" w:rsidRDefault="00000000" w:rsidRPr="00000000" w14:paraId="00000025">
      <w:pPr>
        <w:jc w:val="left"/>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sz w:val="24"/>
          <w:szCs w:val="24"/>
          <w:rtl w:val="0"/>
        </w:rPr>
        <w:t xml:space="preserve">Specifically, the digital twin supports all the hardware shown in Figure 2:</w:t>
      </w:r>
    </w:p>
    <w:p w:rsidR="00000000" w:rsidDel="00000000" w:rsidP="00000000" w:rsidRDefault="00000000" w:rsidRPr="00000000" w14:paraId="00000027">
      <w:pPr>
        <w:numPr>
          <w:ilvl w:val="0"/>
          <w:numId w:val="4"/>
        </w:numPr>
        <w:ind w:left="720" w:hanging="360"/>
        <w:rPr>
          <w:sz w:val="24"/>
          <w:szCs w:val="24"/>
        </w:rPr>
      </w:pPr>
      <w:r w:rsidDel="00000000" w:rsidR="00000000" w:rsidRPr="00000000">
        <w:rPr>
          <w:sz w:val="24"/>
          <w:szCs w:val="24"/>
          <w:rtl w:val="0"/>
        </w:rPr>
        <w:t xml:space="preserve">Green LEDs</w:t>
      </w:r>
    </w:p>
    <w:p w:rsidR="00000000" w:rsidDel="00000000" w:rsidP="00000000" w:rsidRDefault="00000000" w:rsidRPr="00000000" w14:paraId="00000028">
      <w:pPr>
        <w:numPr>
          <w:ilvl w:val="0"/>
          <w:numId w:val="4"/>
        </w:numPr>
        <w:ind w:left="720" w:hanging="360"/>
        <w:rPr>
          <w:sz w:val="24"/>
          <w:szCs w:val="24"/>
        </w:rPr>
      </w:pPr>
      <w:r w:rsidDel="00000000" w:rsidR="00000000" w:rsidRPr="00000000">
        <w:rPr>
          <w:sz w:val="24"/>
          <w:szCs w:val="24"/>
          <w:rtl w:val="0"/>
        </w:rPr>
        <w:t xml:space="preserve">Toggle switches</w:t>
      </w:r>
    </w:p>
    <w:p w:rsidR="00000000" w:rsidDel="00000000" w:rsidP="00000000" w:rsidRDefault="00000000" w:rsidRPr="00000000" w14:paraId="00000029">
      <w:pPr>
        <w:numPr>
          <w:ilvl w:val="0"/>
          <w:numId w:val="4"/>
        </w:numPr>
        <w:ind w:left="720" w:hanging="360"/>
        <w:rPr>
          <w:sz w:val="24"/>
          <w:szCs w:val="24"/>
        </w:rPr>
      </w:pPr>
      <w:r w:rsidDel="00000000" w:rsidR="00000000" w:rsidRPr="00000000">
        <w:rPr>
          <w:sz w:val="24"/>
          <w:szCs w:val="24"/>
          <w:rtl w:val="0"/>
        </w:rPr>
        <w:t xml:space="preserve">4 different logic chips from the 7400-series IC: NOT, AND, OR, and XOR</w:t>
      </w:r>
      <w:r w:rsidDel="00000000" w:rsidR="00000000" w:rsidRPr="00000000">
        <w:rPr>
          <w:rtl w:val="0"/>
        </w:rPr>
      </w:r>
    </w:p>
    <w:p w:rsidR="00000000" w:rsidDel="00000000" w:rsidP="00000000" w:rsidRDefault="00000000" w:rsidRPr="00000000" w14:paraId="0000002A">
      <w:pPr>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B">
      <w:pPr>
        <w:jc w:val="center"/>
        <w:rPr>
          <w:sz w:val="24"/>
          <w:szCs w:val="24"/>
        </w:rPr>
      </w:pPr>
      <w:r w:rsidDel="00000000" w:rsidR="00000000" w:rsidRPr="00000000">
        <w:rPr>
          <w:sz w:val="24"/>
          <w:szCs w:val="24"/>
        </w:rPr>
        <w:drawing>
          <wp:inline distB="114300" distT="114300" distL="114300" distR="114300">
            <wp:extent cx="2847603" cy="2605088"/>
            <wp:effectExtent b="0" l="0" r="0" t="0"/>
            <wp:docPr id="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847603" cy="260508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center"/>
        <w:rPr>
          <w:sz w:val="24"/>
          <w:szCs w:val="24"/>
        </w:rPr>
      </w:pPr>
      <w:r w:rsidDel="00000000" w:rsidR="00000000" w:rsidRPr="00000000">
        <w:rPr>
          <w:sz w:val="24"/>
          <w:szCs w:val="24"/>
          <w:rtl w:val="0"/>
        </w:rPr>
        <w:t xml:space="preserve">Figure 2. List of electronic components supported by the digital twin of a breadboard.</w:t>
      </w:r>
    </w:p>
    <w:p w:rsidR="00000000" w:rsidDel="00000000" w:rsidP="00000000" w:rsidRDefault="00000000" w:rsidRPr="00000000" w14:paraId="0000002D">
      <w:pPr>
        <w:jc w:val="center"/>
        <w:rPr>
          <w:sz w:val="24"/>
          <w:szCs w:val="24"/>
        </w:rPr>
      </w:pPr>
      <w:r w:rsidDel="00000000" w:rsidR="00000000" w:rsidRPr="00000000">
        <w:rPr>
          <w:rtl w:val="0"/>
        </w:rPr>
      </w:r>
    </w:p>
    <w:p w:rsidR="00000000" w:rsidDel="00000000" w:rsidP="00000000" w:rsidRDefault="00000000" w:rsidRPr="00000000" w14:paraId="0000002E">
      <w:pPr>
        <w:rPr>
          <w:b w:val="1"/>
          <w:bCs w:val="1"/>
          <w:sz w:val="24"/>
          <w:szCs w:val="24"/>
        </w:rPr>
      </w:pPr>
      <w:r w:rsidDel="00000000" w:rsidR="00000000" w:rsidRPr="00000000">
        <w:rPr>
          <w:b w:val="1"/>
          <w:bCs w:val="1"/>
          <w:sz w:val="24"/>
          <w:szCs w:val="24"/>
          <w:rtl w:val="0"/>
        </w:rPr>
        <w:t xml:space="preserve">Digital Twin Interface</w:t>
      </w:r>
    </w:p>
    <w:p w:rsidR="00000000" w:rsidDel="00000000" w:rsidP="00000000" w:rsidRDefault="00000000" w:rsidRPr="00000000" w14:paraId="0000002F">
      <w:pPr>
        <w:rPr>
          <w:sz w:val="24"/>
          <w:szCs w:val="24"/>
        </w:rPr>
      </w:pPr>
      <w:r w:rsidDel="00000000" w:rsidR="00000000" w:rsidRPr="00000000">
        <w:rPr>
          <w:sz w:val="24"/>
          <w:szCs w:val="24"/>
          <w:rtl w:val="0"/>
        </w:rPr>
        <w:t xml:space="preserve">To select the digital twin of a breadboard as our user interface, go to the FPGA remote lab and click Edit next to the User interface, as indicated by the red arrow in Figure 3.</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drawing>
          <wp:inline distB="114300" distT="114300" distL="114300" distR="114300">
            <wp:extent cx="5943600" cy="3098800"/>
            <wp:effectExtent b="0" l="0" r="0" t="0"/>
            <wp:docPr id="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sz w:val="24"/>
          <w:szCs w:val="24"/>
        </w:rPr>
      </w:pPr>
      <w:r w:rsidDel="00000000" w:rsidR="00000000" w:rsidRPr="00000000">
        <w:rPr>
          <w:sz w:val="24"/>
          <w:szCs w:val="24"/>
          <w:rtl w:val="0"/>
        </w:rPr>
        <w:t xml:space="preserve">Figure 3</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5">
      <w:pPr>
        <w:rPr/>
      </w:pPr>
      <w:r w:rsidDel="00000000" w:rsidR="00000000" w:rsidRPr="00000000">
        <w:rPr>
          <w:sz w:val="24"/>
          <w:szCs w:val="24"/>
          <w:rtl w:val="0"/>
        </w:rPr>
        <w:t xml:space="preserve">Next, locate the Breadboard and click on it, as indicated by the red arrow in Figure 4. Click the Configure button to construct a circuit, as indicated by the green arrow in Figure 4.</w:t>
      </w:r>
      <w:r w:rsidDel="00000000" w:rsidR="00000000" w:rsidRPr="00000000">
        <w:rPr/>
        <w:drawing>
          <wp:inline distB="114300" distT="114300" distL="114300" distR="114300">
            <wp:extent cx="5943600" cy="3073400"/>
            <wp:effectExtent b="0" l="0" r="0" t="0"/>
            <wp:docPr id="5"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9436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t xml:space="preserve">Figure 4</w:t>
      </w:r>
    </w:p>
    <w:p w:rsidR="00000000" w:rsidDel="00000000" w:rsidP="00000000" w:rsidRDefault="00000000" w:rsidRPr="00000000" w14:paraId="00000037">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sz w:val="24"/>
          <w:szCs w:val="24"/>
          <w:rtl w:val="0"/>
        </w:rPr>
        <w:t xml:space="preserve">Important parts of the digital twin of a breadboard interface are highlighted in Figure 5. Clicking the + (indicated by the red arrow in Figure 5) will pull up a library of supported electronic components.</w:t>
      </w:r>
    </w:p>
    <w:p w:rsidR="00000000" w:rsidDel="00000000" w:rsidP="00000000" w:rsidRDefault="00000000" w:rsidRPr="00000000" w14:paraId="00000039">
      <w:pPr>
        <w:jc w:val="center"/>
        <w:rPr/>
      </w:pPr>
      <w:r w:rsidDel="00000000" w:rsidR="00000000" w:rsidRPr="00000000">
        <w:rPr/>
        <w:drawing>
          <wp:inline distB="114300" distT="114300" distL="114300" distR="114300">
            <wp:extent cx="5943600" cy="4597400"/>
            <wp:effectExtent b="0" l="0" r="0" t="0"/>
            <wp:docPr id="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sz w:val="24"/>
          <w:szCs w:val="24"/>
        </w:rPr>
      </w:pPr>
      <w:r w:rsidDel="00000000" w:rsidR="00000000" w:rsidRPr="00000000">
        <w:rPr>
          <w:sz w:val="24"/>
          <w:szCs w:val="24"/>
          <w:rtl w:val="0"/>
        </w:rPr>
        <w:t xml:space="preserve">Figure 5</w:t>
      </w:r>
    </w:p>
    <w:p w:rsidR="00000000" w:rsidDel="00000000" w:rsidP="00000000" w:rsidRDefault="00000000" w:rsidRPr="00000000" w14:paraId="0000003B">
      <w:pPr>
        <w:jc w:val="left"/>
        <w:rPr>
          <w:sz w:val="24"/>
          <w:szCs w:val="24"/>
        </w:rPr>
      </w:pPr>
      <w:r w:rsidDel="00000000" w:rsidR="00000000" w:rsidRPr="00000000">
        <w:rPr>
          <w:rtl w:val="0"/>
        </w:rPr>
      </w:r>
    </w:p>
    <w:p w:rsidR="00000000" w:rsidDel="00000000" w:rsidP="00000000" w:rsidRDefault="00000000" w:rsidRPr="00000000" w14:paraId="0000003C">
      <w:pPr>
        <w:jc w:val="left"/>
        <w:rPr>
          <w:sz w:val="24"/>
          <w:szCs w:val="24"/>
        </w:rPr>
      </w:pPr>
      <w:r w:rsidDel="00000000" w:rsidR="00000000" w:rsidRPr="00000000">
        <w:rPr>
          <w:sz w:val="24"/>
          <w:szCs w:val="24"/>
          <w:rtl w:val="0"/>
        </w:rPr>
        <w:t xml:space="preserve">Each click on the name or image of an electronic component will add one instance of that component to the digital twin of a breadboard next to the GPIO Pins. The clickable region for each component is highlighted in Figure 6.</w:t>
      </w:r>
    </w:p>
    <w:p w:rsidR="00000000" w:rsidDel="00000000" w:rsidP="00000000" w:rsidRDefault="00000000" w:rsidRPr="00000000" w14:paraId="0000003D">
      <w:pPr>
        <w:jc w:val="center"/>
        <w:rPr/>
      </w:pPr>
      <w:r w:rsidDel="00000000" w:rsidR="00000000" w:rsidRPr="00000000">
        <w:rPr/>
        <w:drawing>
          <wp:inline distB="114300" distT="114300" distL="114300" distR="114300">
            <wp:extent cx="3443288" cy="4092527"/>
            <wp:effectExtent b="0" l="0" r="0" t="0"/>
            <wp:docPr id="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443288" cy="4092527"/>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center"/>
        <w:rPr>
          <w:sz w:val="24"/>
          <w:szCs w:val="24"/>
        </w:rPr>
      </w:pPr>
      <w:r w:rsidDel="00000000" w:rsidR="00000000" w:rsidRPr="00000000">
        <w:rPr>
          <w:sz w:val="24"/>
          <w:szCs w:val="24"/>
          <w:rtl w:val="0"/>
        </w:rPr>
        <w:t xml:space="preserve">Figure 6</w:t>
      </w:r>
    </w:p>
    <w:p w:rsidR="00000000" w:rsidDel="00000000" w:rsidP="00000000" w:rsidRDefault="00000000" w:rsidRPr="00000000" w14:paraId="0000003F">
      <w:pPr>
        <w:jc w:val="left"/>
        <w:rPr/>
      </w:pPr>
      <w:r w:rsidDel="00000000" w:rsidR="00000000" w:rsidRPr="00000000">
        <w:rPr>
          <w:rtl w:val="0"/>
        </w:rPr>
      </w:r>
    </w:p>
    <w:p w:rsidR="00000000" w:rsidDel="00000000" w:rsidP="00000000" w:rsidRDefault="00000000" w:rsidRPr="00000000" w14:paraId="00000040">
      <w:pPr>
        <w:rPr>
          <w:b w:val="1"/>
          <w:bCs w:val="1"/>
          <w:sz w:val="24"/>
          <w:szCs w:val="24"/>
        </w:rPr>
      </w:pPr>
      <w:r w:rsidDel="00000000" w:rsidR="00000000" w:rsidRPr="00000000">
        <w:rPr>
          <w:b w:val="1"/>
          <w:bCs w:val="1"/>
          <w:sz w:val="24"/>
          <w:szCs w:val="24"/>
          <w:rtl w:val="0"/>
        </w:rPr>
        <w:t xml:space="preserve">LED</w:t>
      </w:r>
    </w:p>
    <w:p w:rsidR="00000000" w:rsidDel="00000000" w:rsidP="00000000" w:rsidRDefault="00000000" w:rsidRPr="00000000" w14:paraId="00000041">
      <w:pPr>
        <w:rPr>
          <w:sz w:val="24"/>
          <w:szCs w:val="24"/>
        </w:rPr>
      </w:pPr>
      <w:r w:rsidDel="00000000" w:rsidR="00000000" w:rsidRPr="00000000">
        <w:rPr>
          <w:sz w:val="24"/>
          <w:szCs w:val="24"/>
          <w:rtl w:val="0"/>
        </w:rPr>
        <w:t xml:space="preserve">The simulation only supports green virtual LEDs. One end of the LED must be connected to GND, as shown in Figure 7.</w:t>
      </w:r>
    </w:p>
    <w:p w:rsidR="00000000" w:rsidDel="00000000" w:rsidP="00000000" w:rsidRDefault="00000000" w:rsidRPr="00000000" w14:paraId="00000042">
      <w:pPr>
        <w:jc w:val="center"/>
        <w:rPr/>
      </w:pPr>
      <w:r w:rsidDel="00000000" w:rsidR="00000000" w:rsidRPr="00000000">
        <w:rPr/>
        <w:drawing>
          <wp:inline distB="114300" distT="114300" distL="114300" distR="114300">
            <wp:extent cx="3631623" cy="2308050"/>
            <wp:effectExtent b="0" l="0" r="0" t="0"/>
            <wp:docPr id="11"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3631623" cy="230805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sz w:val="24"/>
          <w:szCs w:val="24"/>
        </w:rPr>
      </w:pPr>
      <w:r w:rsidDel="00000000" w:rsidR="00000000" w:rsidRPr="00000000">
        <w:rPr>
          <w:sz w:val="24"/>
          <w:szCs w:val="24"/>
          <w:rtl w:val="0"/>
        </w:rPr>
        <w:t xml:space="preserve">Figure 7. A working LED circuit (left) and a non-working LED circuit (right).</w:t>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jc w:val="left"/>
        <w:rPr>
          <w:b w:val="1"/>
          <w:bCs w:val="1"/>
          <w:sz w:val="24"/>
          <w:szCs w:val="24"/>
        </w:rPr>
      </w:pPr>
      <w:r w:rsidDel="00000000" w:rsidR="00000000" w:rsidRPr="00000000">
        <w:rPr>
          <w:b w:val="1"/>
          <w:bCs w:val="1"/>
          <w:sz w:val="24"/>
          <w:szCs w:val="24"/>
          <w:rtl w:val="0"/>
        </w:rPr>
        <w:t xml:space="preserve">Toggle switches</w:t>
      </w:r>
    </w:p>
    <w:p w:rsidR="00000000" w:rsidDel="00000000" w:rsidP="00000000" w:rsidRDefault="00000000" w:rsidRPr="00000000" w14:paraId="00000046">
      <w:pPr>
        <w:rPr>
          <w:sz w:val="24"/>
          <w:szCs w:val="24"/>
        </w:rPr>
      </w:pPr>
      <w:r w:rsidDel="00000000" w:rsidR="00000000" w:rsidRPr="00000000">
        <w:rPr>
          <w:sz w:val="24"/>
          <w:szCs w:val="24"/>
          <w:rtl w:val="0"/>
        </w:rPr>
        <w:t xml:space="preserve">For a switch, the left pin must be connected to +3.3V, while the right pin must be connected to GND, as shown in Figure 8.</w:t>
      </w:r>
    </w:p>
    <w:p w:rsidR="00000000" w:rsidDel="00000000" w:rsidP="00000000" w:rsidRDefault="00000000" w:rsidRPr="00000000" w14:paraId="00000047">
      <w:pPr>
        <w:jc w:val="left"/>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drawing>
          <wp:inline distB="114300" distT="114300" distL="114300" distR="114300">
            <wp:extent cx="3771097" cy="2391699"/>
            <wp:effectExtent b="0" l="0" r="0" t="0"/>
            <wp:docPr id="1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771097" cy="2391699"/>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center"/>
        <w:rPr/>
      </w:pPr>
      <w:r w:rsidDel="00000000" w:rsidR="00000000" w:rsidRPr="00000000">
        <w:rPr>
          <w:rtl w:val="0"/>
        </w:rPr>
        <w:t xml:space="preserve">Figure 8</w:t>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After the circuit on the virtual breadboard is constructed, and the circuit status shows no error, exit the breadboard editor by clicking on the Close button located on the lower right of the breadboard editor (also highlighted in Figure 5).</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rtl w:val="0"/>
        </w:rPr>
        <w:t xml:space="preserve">Exit the user interface selection window by clicking the X button on the upper right of the user interface selection window or anywhere outside of the user interface selection window.</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pStyle w:val="Heading1"/>
        <w:spacing w:after="0" w:before="0" w:lineRule="auto"/>
        <w:rPr/>
      </w:pPr>
      <w:bookmarkStart w:colFirst="0" w:colLast="0" w:name="_4l89rjiwviz2" w:id="7"/>
      <w:bookmarkEnd w:id="7"/>
      <w:r w:rsidDel="00000000" w:rsidR="00000000" w:rsidRPr="00000000">
        <w:rPr>
          <w:rtl w:val="0"/>
        </w:rPr>
        <w:t xml:space="preserve">3. Simulation Components</w:t>
      </w: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sz w:val="24"/>
          <w:szCs w:val="24"/>
          <w:rtl w:val="0"/>
        </w:rPr>
        <w:t xml:space="preserve">Describe all variables, visual queues, inputs, outputs, buttons, limitations, and so on in depth.</w:t>
      </w:r>
      <w:r w:rsidDel="00000000" w:rsidR="00000000" w:rsidRPr="00000000">
        <w:rPr>
          <w:rtl w:val="0"/>
        </w:rPr>
      </w:r>
    </w:p>
    <w:p w:rsidR="00000000" w:rsidDel="00000000" w:rsidP="00000000" w:rsidRDefault="00000000" w:rsidRPr="00000000" w14:paraId="00000053">
      <w:pPr>
        <w:ind w:left="0" w:firstLine="0"/>
        <w:rPr>
          <w:sz w:val="24"/>
          <w:szCs w:val="24"/>
          <w:highlight w:val="yellow"/>
        </w:rPr>
      </w:pPr>
      <w:r w:rsidDel="00000000" w:rsidR="00000000" w:rsidRPr="00000000">
        <w:rPr>
          <w:rtl w:val="0"/>
        </w:rPr>
      </w:r>
    </w:p>
    <w:p w:rsidR="00000000" w:rsidDel="00000000" w:rsidP="00000000" w:rsidRDefault="00000000" w:rsidRPr="00000000" w14:paraId="00000054">
      <w:pPr>
        <w:pStyle w:val="Heading2"/>
        <w:rPr/>
      </w:pPr>
      <w:bookmarkStart w:colFirst="0" w:colLast="0" w:name="_v5di1x1n468t" w:id="8"/>
      <w:bookmarkEnd w:id="8"/>
      <w:r w:rsidDel="00000000" w:rsidR="00000000" w:rsidRPr="00000000">
        <w:rPr>
          <w:rtl w:val="0"/>
        </w:rPr>
        <w:t xml:space="preserve">3.1</w:t>
      </w:r>
      <w:r w:rsidDel="00000000" w:rsidR="00000000" w:rsidRPr="00000000">
        <w:rPr>
          <w:rtl w:val="0"/>
        </w:rPr>
        <w:t xml:space="preserve"> Example Limitation Component</w:t>
      </w:r>
    </w:p>
    <w:p w:rsidR="00000000" w:rsidDel="00000000" w:rsidP="00000000" w:rsidRDefault="00000000" w:rsidRPr="00000000" w14:paraId="00000055">
      <w:pPr>
        <w:numPr>
          <w:ilvl w:val="0"/>
          <w:numId w:val="2"/>
        </w:numPr>
        <w:shd w:fill="ffffff" w:val="clear"/>
        <w:spacing w:after="0" w:afterAutospacing="0" w:before="240" w:lineRule="auto"/>
        <w:ind w:left="720" w:hanging="360"/>
        <w:rPr>
          <w:sz w:val="24"/>
          <w:szCs w:val="24"/>
        </w:rPr>
      </w:pPr>
      <w:r w:rsidDel="00000000" w:rsidR="00000000" w:rsidRPr="00000000">
        <w:rPr>
          <w:rFonts w:ascii="Roboto" w:cs="Roboto" w:eastAsia="Roboto" w:hAnsi="Roboto"/>
          <w:color w:val="0f1115"/>
          <w:sz w:val="24"/>
          <w:szCs w:val="24"/>
          <w:rtl w:val="0"/>
        </w:rPr>
        <w:t xml:space="preserve">Virtual Breadboard Placement Bug</w:t>
        <w:br w:type="textWrapping"/>
        <w:t xml:space="preserve">A rare bug affects the upper right corner of the virtual breadboard. Components, typically LEDs, placed in this specific area may incorrectly trigger a false error in the circuit status window, even when the circuit is properly constructed.</w:t>
      </w:r>
    </w:p>
    <w:p w:rsidR="00000000" w:rsidDel="00000000" w:rsidP="00000000" w:rsidRDefault="00000000" w:rsidRPr="00000000" w14:paraId="00000056">
      <w:pPr>
        <w:numPr>
          <w:ilvl w:val="0"/>
          <w:numId w:val="2"/>
        </w:numPr>
        <w:shd w:fill="ffffff" w:val="clear"/>
        <w:spacing w:after="240" w:before="0" w:beforeAutospacing="0" w:lineRule="auto"/>
        <w:ind w:left="720" w:hanging="360"/>
        <w:rPr>
          <w:sz w:val="24"/>
          <w:szCs w:val="24"/>
        </w:rPr>
      </w:pPr>
      <w:r w:rsidDel="00000000" w:rsidR="00000000" w:rsidRPr="00000000">
        <w:rPr>
          <w:rFonts w:ascii="Roboto" w:cs="Roboto" w:eastAsia="Roboto" w:hAnsi="Roboto"/>
          <w:color w:val="0f1115"/>
          <w:sz w:val="24"/>
          <w:szCs w:val="24"/>
          <w:rtl w:val="0"/>
        </w:rPr>
        <w:t xml:space="preserve">Toggle Switch Interaction Bug</w:t>
        <w:br w:type="textWrapping"/>
        <w:t xml:space="preserve">A rare bug affects the toggle switches. When clicking to change their state, the switches may unexpectedly shift position. If this occurs, gently moving the switch back to its original working position should restore normal functionality.</w:t>
      </w:r>
    </w:p>
    <w:p w:rsidR="00000000" w:rsidDel="00000000" w:rsidP="00000000" w:rsidRDefault="00000000" w:rsidRPr="00000000" w14:paraId="00000057">
      <w:pPr>
        <w:pStyle w:val="Heading3"/>
        <w:spacing w:after="0" w:before="0" w:lineRule="auto"/>
        <w:rPr>
          <w:rFonts w:ascii="Roboto" w:cs="Roboto" w:eastAsia="Roboto" w:hAnsi="Roboto"/>
          <w:b w:val="1"/>
          <w:bCs w:val="1"/>
          <w:color w:val="0f1115"/>
          <w:sz w:val="24"/>
          <w:szCs w:val="24"/>
        </w:rPr>
      </w:pPr>
      <w:bookmarkStart w:colFirst="0" w:colLast="0" w:name="_sk5me4cbdw64" w:id="9"/>
      <w:bookmarkEnd w:id="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pStyle w:val="Heading1"/>
        <w:rPr/>
      </w:pPr>
      <w:bookmarkStart w:colFirst="0" w:colLast="0" w:name="_2oa6yaka6nhc" w:id="10"/>
      <w:bookmarkEnd w:id="10"/>
      <w:r w:rsidDel="00000000" w:rsidR="00000000" w:rsidRPr="00000000">
        <w:rPr>
          <w:rtl w:val="0"/>
        </w:rPr>
        <w:t xml:space="preserve">4. GPIO Mappings (Pinout is shown in Figure 9)</w:t>
      </w:r>
    </w:p>
    <w:p w:rsidR="00000000" w:rsidDel="00000000" w:rsidP="00000000" w:rsidRDefault="00000000" w:rsidRPr="00000000" w14:paraId="00000059">
      <w:pPr>
        <w:pStyle w:val="Heading2"/>
        <w:rPr>
          <w:b w:val="1"/>
          <w:bCs w:val="1"/>
          <w:sz w:val="28"/>
          <w:szCs w:val="28"/>
        </w:rPr>
      </w:pPr>
      <w:bookmarkStart w:colFirst="0" w:colLast="0" w:name="_20nyri8h0v43" w:id="11"/>
      <w:bookmarkEnd w:id="11"/>
      <w:r w:rsidDel="00000000" w:rsidR="00000000" w:rsidRPr="00000000">
        <w:rPr>
          <w:rtl w:val="0"/>
        </w:rPr>
        <w:t xml:space="preserve">4.1 Inputs</w:t>
      </w:r>
      <w:r w:rsidDel="00000000" w:rsidR="00000000" w:rsidRPr="00000000">
        <w:rPr>
          <w:rtl w:val="0"/>
        </w:rPr>
      </w:r>
    </w:p>
    <w:p w:rsidR="00000000" w:rsidDel="00000000" w:rsidP="00000000" w:rsidRDefault="00000000" w:rsidRPr="00000000" w14:paraId="0000005A">
      <w:pPr>
        <w:ind w:left="0" w:firstLine="0"/>
        <w:rPr>
          <w:i w:val="1"/>
          <w:iCs w:val="1"/>
          <w:sz w:val="24"/>
          <w:szCs w:val="24"/>
        </w:rPr>
      </w:pPr>
      <w:r w:rsidDel="00000000" w:rsidR="00000000" w:rsidRPr="00000000">
        <w:rPr>
          <w:rtl w:val="0"/>
        </w:rPr>
      </w:r>
    </w:p>
    <w:tbl>
      <w:tblPr>
        <w:tblStyle w:val="Table1"/>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80"/>
        <w:gridCol w:w="3750"/>
        <w:tblGridChange w:id="0">
          <w:tblGrid>
            <w:gridCol w:w="5580"/>
            <w:gridCol w:w="3750"/>
          </w:tblGrid>
        </w:tblGridChange>
      </w:tblGrid>
      <w:tr>
        <w:trPr>
          <w:cantSplit w:val="0"/>
          <w:tblHeader w:val="0"/>
        </w:trPr>
        <w:tc>
          <w:tcPr>
            <w:shd w:fill="97b984"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i w:val="1"/>
                <w:iCs w:val="1"/>
                <w:sz w:val="24"/>
                <w:szCs w:val="24"/>
              </w:rPr>
            </w:pPr>
            <w:r w:rsidDel="00000000" w:rsidR="00000000" w:rsidRPr="00000000">
              <w:rPr>
                <w:b w:val="1"/>
                <w:bCs w:val="1"/>
                <w:i w:val="1"/>
                <w:iCs w:val="1"/>
                <w:sz w:val="24"/>
                <w:szCs w:val="24"/>
                <w:rtl w:val="0"/>
              </w:rPr>
              <w:t xml:space="preserve">Description</w:t>
            </w:r>
          </w:p>
        </w:tc>
        <w:tc>
          <w:tcPr>
            <w:shd w:fill="97b984"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i w:val="1"/>
                <w:iCs w:val="1"/>
                <w:sz w:val="24"/>
                <w:szCs w:val="24"/>
              </w:rPr>
            </w:pPr>
            <w:r w:rsidDel="00000000" w:rsidR="00000000" w:rsidRPr="00000000">
              <w:rPr>
                <w:b w:val="1"/>
                <w:bCs w:val="1"/>
                <w:i w:val="1"/>
                <w:iCs w:val="1"/>
                <w:sz w:val="24"/>
                <w:szCs w:val="24"/>
                <w:rtl w:val="0"/>
              </w:rPr>
              <w:t xml:space="preserve">V_GPIO</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24"/>
                <w:szCs w:val="24"/>
              </w:rPr>
            </w:pPr>
            <w:r w:rsidDel="00000000" w:rsidR="00000000" w:rsidRPr="00000000">
              <w:rPr>
                <w:i w:val="1"/>
                <w:iCs w:val="1"/>
                <w:sz w:val="24"/>
                <w:szCs w:val="24"/>
                <w:rtl w:val="0"/>
              </w:rPr>
              <w:t xml:space="preserve">All the input GPIOs work the same</w:t>
            </w:r>
          </w:p>
        </w:tc>
        <w:tc>
          <w:tcPr>
            <w:tcMar>
              <w:top w:w="100.0" w:type="dxa"/>
              <w:left w:w="100.0" w:type="dxa"/>
              <w:bottom w:w="100.0" w:type="dxa"/>
              <w:right w:w="100.0" w:type="dxa"/>
            </w:tcM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sz w:val="24"/>
                <w:szCs w:val="24"/>
              </w:rPr>
            </w:pPr>
            <w:r w:rsidDel="00000000" w:rsidR="00000000" w:rsidRPr="00000000">
              <w:rPr>
                <w:i w:val="1"/>
                <w:iCs w:val="1"/>
                <w:sz w:val="24"/>
                <w:szCs w:val="24"/>
                <w:rtl w:val="0"/>
              </w:rPr>
              <w:t xml:space="preserve">23, 24, 28, 29, 30</w:t>
            </w:r>
          </w:p>
        </w:tc>
      </w:tr>
    </w:tbl>
    <w:p w:rsidR="00000000" w:rsidDel="00000000" w:rsidP="00000000" w:rsidRDefault="00000000" w:rsidRPr="00000000" w14:paraId="0000005F">
      <w:pPr>
        <w:ind w:left="0" w:firstLine="0"/>
        <w:rPr>
          <w:i w:val="1"/>
          <w:iCs w:val="1"/>
          <w:sz w:val="24"/>
          <w:szCs w:val="24"/>
        </w:rPr>
      </w:pPr>
      <w:r w:rsidDel="00000000" w:rsidR="00000000" w:rsidRPr="00000000">
        <w:rPr>
          <w:rtl w:val="0"/>
        </w:rPr>
      </w:r>
    </w:p>
    <w:p w:rsidR="00000000" w:rsidDel="00000000" w:rsidP="00000000" w:rsidRDefault="00000000" w:rsidRPr="00000000" w14:paraId="00000060">
      <w:pPr>
        <w:pStyle w:val="Heading2"/>
        <w:spacing w:after="80" w:before="280" w:lineRule="auto"/>
        <w:rPr>
          <w:b w:val="1"/>
          <w:bCs w:val="1"/>
          <w:sz w:val="28"/>
          <w:szCs w:val="28"/>
        </w:rPr>
      </w:pPr>
      <w:bookmarkStart w:colFirst="0" w:colLast="0" w:name="_sdc9w3pm3vmx" w:id="12"/>
      <w:bookmarkEnd w:id="12"/>
      <w:r w:rsidDel="00000000" w:rsidR="00000000" w:rsidRPr="00000000">
        <w:rPr>
          <w:b w:val="1"/>
          <w:bCs w:val="1"/>
          <w:sz w:val="28"/>
          <w:szCs w:val="28"/>
          <w:rtl w:val="0"/>
        </w:rPr>
        <w:t xml:space="preserve">4.2 Outputs</w:t>
      </w:r>
    </w:p>
    <w:p w:rsidR="00000000" w:rsidDel="00000000" w:rsidP="00000000" w:rsidRDefault="00000000" w:rsidRPr="00000000" w14:paraId="00000061">
      <w:pPr>
        <w:rPr>
          <w:i w:val="1"/>
          <w:iCs w:val="1"/>
          <w:sz w:val="24"/>
          <w:szCs w:val="24"/>
        </w:rPr>
      </w:pPr>
      <w:r w:rsidDel="00000000" w:rsidR="00000000" w:rsidRPr="00000000">
        <w:rPr>
          <w:rtl w:val="0"/>
        </w:rPr>
      </w:r>
    </w:p>
    <w:tbl>
      <w:tblPr>
        <w:tblStyle w:val="Table2"/>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25"/>
        <w:gridCol w:w="3615"/>
        <w:tblGridChange w:id="0">
          <w:tblGrid>
            <w:gridCol w:w="5625"/>
            <w:gridCol w:w="3615"/>
          </w:tblGrid>
        </w:tblGridChange>
      </w:tblGrid>
      <w:tr>
        <w:trPr>
          <w:cantSplit w:val="0"/>
          <w:tblHeader w:val="0"/>
        </w:trPr>
        <w:tc>
          <w:tcPr>
            <w:shd w:fill="6b8fc5"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b w:val="1"/>
                <w:bCs w:val="1"/>
                <w:i w:val="1"/>
                <w:iCs w:val="1"/>
                <w:sz w:val="24"/>
                <w:szCs w:val="24"/>
              </w:rPr>
            </w:pPr>
            <w:r w:rsidDel="00000000" w:rsidR="00000000" w:rsidRPr="00000000">
              <w:rPr>
                <w:b w:val="1"/>
                <w:bCs w:val="1"/>
                <w:i w:val="1"/>
                <w:iCs w:val="1"/>
                <w:sz w:val="24"/>
                <w:szCs w:val="24"/>
                <w:rtl w:val="0"/>
              </w:rPr>
              <w:t xml:space="preserve">Description</w:t>
            </w:r>
          </w:p>
        </w:tc>
        <w:tc>
          <w:tcPr>
            <w:shd w:fill="6b8fc5"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b w:val="1"/>
                <w:bCs w:val="1"/>
                <w:i w:val="1"/>
                <w:iCs w:val="1"/>
                <w:sz w:val="24"/>
                <w:szCs w:val="24"/>
              </w:rPr>
            </w:pPr>
            <w:r w:rsidDel="00000000" w:rsidR="00000000" w:rsidRPr="00000000">
              <w:rPr>
                <w:b w:val="1"/>
                <w:bCs w:val="1"/>
                <w:i w:val="1"/>
                <w:iCs w:val="1"/>
                <w:sz w:val="24"/>
                <w:szCs w:val="24"/>
                <w:rtl w:val="0"/>
              </w:rPr>
              <w:t xml:space="preserve">V_GPIO</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64">
            <w:pPr>
              <w:widowControl w:val="0"/>
              <w:spacing w:line="240" w:lineRule="auto"/>
              <w:rPr>
                <w:i w:val="1"/>
                <w:iCs w:val="1"/>
                <w:sz w:val="24"/>
                <w:szCs w:val="24"/>
              </w:rPr>
            </w:pPr>
            <w:r w:rsidDel="00000000" w:rsidR="00000000" w:rsidRPr="00000000">
              <w:rPr>
                <w:i w:val="1"/>
                <w:iCs w:val="1"/>
                <w:sz w:val="24"/>
                <w:szCs w:val="24"/>
                <w:rtl w:val="0"/>
              </w:rPr>
              <w:t xml:space="preserve">All the output GPIOs work the same</w:t>
            </w:r>
          </w:p>
        </w:tc>
        <w:tc>
          <w:tcPr>
            <w:tcMar>
              <w:top w:w="100.0" w:type="dxa"/>
              <w:left w:w="100.0" w:type="dxa"/>
              <w:bottom w:w="100.0" w:type="dxa"/>
              <w:right w:w="100.0" w:type="dxa"/>
            </w:tcMar>
            <w:vAlign w:val="center"/>
          </w:tcPr>
          <w:p w:rsidR="00000000" w:rsidDel="00000000" w:rsidP="00000000" w:rsidRDefault="00000000" w:rsidRPr="00000000" w14:paraId="00000065">
            <w:pPr>
              <w:widowControl w:val="0"/>
              <w:spacing w:line="240" w:lineRule="auto"/>
              <w:jc w:val="center"/>
              <w:rPr>
                <w:i w:val="1"/>
                <w:iCs w:val="1"/>
                <w:sz w:val="24"/>
                <w:szCs w:val="24"/>
              </w:rPr>
            </w:pPr>
            <w:r w:rsidDel="00000000" w:rsidR="00000000" w:rsidRPr="00000000">
              <w:rPr>
                <w:i w:val="1"/>
                <w:iCs w:val="1"/>
                <w:sz w:val="24"/>
                <w:szCs w:val="24"/>
                <w:rtl w:val="0"/>
              </w:rPr>
              <w:t xml:space="preserve">26, 27, 31, 32, 33, 34, 35</w:t>
            </w:r>
          </w:p>
        </w:tc>
      </w:tr>
    </w:tbl>
    <w:p w:rsidR="00000000" w:rsidDel="00000000" w:rsidP="00000000" w:rsidRDefault="00000000" w:rsidRPr="00000000" w14:paraId="00000066">
      <w:pPr>
        <w:rPr>
          <w:i w:val="1"/>
          <w:iCs w:val="1"/>
          <w:sz w:val="24"/>
          <w:szCs w:val="24"/>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jc w:val="center"/>
        <w:rPr>
          <w:sz w:val="24"/>
          <w:szCs w:val="24"/>
        </w:rPr>
      </w:pPr>
      <w:r w:rsidDel="00000000" w:rsidR="00000000" w:rsidRPr="00000000">
        <w:rPr>
          <w:sz w:val="24"/>
          <w:szCs w:val="24"/>
        </w:rPr>
        <w:drawing>
          <wp:inline distB="114300" distT="114300" distL="114300" distR="114300">
            <wp:extent cx="2657475" cy="3457575"/>
            <wp:effectExtent b="0" l="0" r="0" t="0"/>
            <wp:docPr id="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657475"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center"/>
        <w:rPr>
          <w:sz w:val="24"/>
          <w:szCs w:val="24"/>
        </w:rPr>
      </w:pPr>
      <w:r w:rsidDel="00000000" w:rsidR="00000000" w:rsidRPr="00000000">
        <w:rPr>
          <w:sz w:val="24"/>
          <w:szCs w:val="24"/>
          <w:rtl w:val="0"/>
        </w:rPr>
        <w:t xml:space="preserve">Figure 9</w:t>
      </w:r>
      <w:r w:rsidDel="00000000" w:rsidR="00000000" w:rsidRPr="00000000">
        <w:rPr>
          <w:rtl w:val="0"/>
        </w:rPr>
      </w:r>
    </w:p>
    <w:p w:rsidR="00000000" w:rsidDel="00000000" w:rsidP="00000000" w:rsidRDefault="00000000" w:rsidRPr="00000000" w14:paraId="0000006A">
      <w:pPr>
        <w:pStyle w:val="Heading1"/>
        <w:rPr/>
      </w:pPr>
      <w:bookmarkStart w:colFirst="0" w:colLast="0" w:name="_8ohvpclripex" w:id="13"/>
      <w:bookmarkEnd w:id="13"/>
      <w:r w:rsidDel="00000000" w:rsidR="00000000" w:rsidRPr="00000000">
        <w:rPr>
          <w:rtl w:val="0"/>
        </w:rPr>
        <w:t xml:space="preserve">5. Possible Specifications</w:t>
      </w:r>
    </w:p>
    <w:p w:rsidR="00000000" w:rsidDel="00000000" w:rsidP="00000000" w:rsidRDefault="00000000" w:rsidRPr="00000000" w14:paraId="0000006B">
      <w:pPr>
        <w:rPr>
          <w:i w:val="1"/>
          <w:iCs w:val="1"/>
          <w:sz w:val="24"/>
          <w:szCs w:val="24"/>
        </w:rPr>
      </w:pPr>
      <w:r w:rsidDel="00000000" w:rsidR="00000000" w:rsidRPr="00000000">
        <w:rPr>
          <w:i w:val="1"/>
          <w:iCs w:val="1"/>
          <w:sz w:val="24"/>
          <w:szCs w:val="24"/>
          <w:rtl w:val="0"/>
        </w:rPr>
        <w:t xml:space="preserve">This section briefly outlines possible ways to use this simulation to develop a laboratory assignment. Example specifications for this simulation go into further detail.</w:t>
      </w:r>
    </w:p>
    <w:p w:rsidR="00000000" w:rsidDel="00000000" w:rsidP="00000000" w:rsidRDefault="00000000" w:rsidRPr="00000000" w14:paraId="0000006C">
      <w:pPr>
        <w:pStyle w:val="Heading2"/>
        <w:rPr>
          <w:sz w:val="24"/>
          <w:szCs w:val="24"/>
        </w:rPr>
      </w:pPr>
      <w:bookmarkStart w:colFirst="0" w:colLast="0" w:name="_4g50zzzdyn30" w:id="14"/>
      <w:bookmarkEnd w:id="14"/>
      <w:r w:rsidDel="00000000" w:rsidR="00000000" w:rsidRPr="00000000">
        <w:rPr>
          <w:rtl w:val="0"/>
        </w:rPr>
        <w:t xml:space="preserve">5.1 Example 1: Introduction to GPIO</w:t>
      </w: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rFonts w:ascii="Roboto" w:cs="Roboto" w:eastAsia="Roboto" w:hAnsi="Roboto"/>
          <w:color w:val="0f1115"/>
          <w:sz w:val="24"/>
          <w:szCs w:val="24"/>
          <w:highlight w:val="white"/>
          <w:rtl w:val="0"/>
        </w:rPr>
        <w:t xml:space="preserve">A foundational lab assignment introducing GPIO can utilize the digital twins of toggle switches and LEDs. Students can complete simple tasks, such as controlling the LEDs directly with the switches, to understand basic digital input and output concepts.</w:t>
      </w:r>
      <w:r w:rsidDel="00000000" w:rsidR="00000000" w:rsidRPr="00000000">
        <w:rPr>
          <w:rtl w:val="0"/>
        </w:rPr>
      </w:r>
    </w:p>
    <w:p w:rsidR="00000000" w:rsidDel="00000000" w:rsidP="00000000" w:rsidRDefault="00000000" w:rsidRPr="00000000" w14:paraId="0000006E">
      <w:pPr>
        <w:pStyle w:val="Heading2"/>
        <w:rPr>
          <w:sz w:val="24"/>
          <w:szCs w:val="24"/>
        </w:rPr>
      </w:pPr>
      <w:bookmarkStart w:colFirst="0" w:colLast="0" w:name="_ojxab943z86j" w:id="15"/>
      <w:bookmarkEnd w:id="15"/>
      <w:r w:rsidDel="00000000" w:rsidR="00000000" w:rsidRPr="00000000">
        <w:rPr>
          <w:rtl w:val="0"/>
        </w:rPr>
        <w:t xml:space="preserve">5.2 Example 2: Combinational Logic Design</w:t>
      </w:r>
      <w:r w:rsidDel="00000000" w:rsidR="00000000" w:rsidRPr="00000000">
        <w:rPr>
          <w:rtl w:val="0"/>
        </w:rPr>
      </w:r>
    </w:p>
    <w:p w:rsidR="00000000" w:rsidDel="00000000" w:rsidP="00000000" w:rsidRDefault="00000000" w:rsidRPr="00000000" w14:paraId="0000006F">
      <w:pPr>
        <w:ind w:left="0" w:firstLine="0"/>
        <w:rPr>
          <w:sz w:val="24"/>
          <w:szCs w:val="24"/>
        </w:rPr>
      </w:pPr>
      <w:r w:rsidDel="00000000" w:rsidR="00000000" w:rsidRPr="00000000">
        <w:rPr>
          <w:rFonts w:ascii="Roboto" w:cs="Roboto" w:eastAsia="Roboto" w:hAnsi="Roboto"/>
          <w:color w:val="0f1115"/>
          <w:sz w:val="24"/>
          <w:szCs w:val="24"/>
          <w:highlight w:val="white"/>
          <w:rtl w:val="0"/>
        </w:rPr>
        <w:t xml:space="preserve">A lab focusing on digital circuit design could have students develop complex circuits using digital twins of 7400-series ICs, which include NOT, AND, OR, and XOR gates. A practical example is constructing a 4:1 multiplexer (MUX). The inputs to the MUX can be driven by the FPGA—either by physical pushbuttons or onboard switches—or be generated entirely within the HDL code. The outputs of the MUX can be routed to the LEDs on the virtual breadboard or to the onboard peripherals (such as LEDs and 7-segment displays) of the development board.</w:t>
      </w:r>
      <w:r w:rsidDel="00000000" w:rsidR="00000000" w:rsidRPr="00000000">
        <w:rPr>
          <w:rtl w:val="0"/>
        </w:rPr>
      </w:r>
    </w:p>
    <w:p w:rsidR="00000000" w:rsidDel="00000000" w:rsidP="00000000" w:rsidRDefault="00000000" w:rsidRPr="00000000" w14:paraId="00000070">
      <w:pPr>
        <w:pStyle w:val="Heading2"/>
        <w:rPr/>
      </w:pPr>
      <w:bookmarkStart w:colFirst="0" w:colLast="0" w:name="_hssouu5lebye" w:id="16"/>
      <w:bookmarkEnd w:id="16"/>
      <w:r w:rsidDel="00000000" w:rsidR="00000000" w:rsidRPr="00000000">
        <w:rPr>
          <w:rtl w:val="0"/>
        </w:rPr>
        <w:t xml:space="preserve">5.3 Example 3: Integration to Complex Logic</w:t>
      </w:r>
    </w:p>
    <w:p w:rsidR="00000000" w:rsidDel="00000000" w:rsidP="00000000" w:rsidRDefault="00000000" w:rsidRPr="00000000" w14:paraId="00000071">
      <w:pPr>
        <w:rPr>
          <w:sz w:val="24"/>
          <w:szCs w:val="24"/>
        </w:rPr>
      </w:pPr>
      <w:r w:rsidDel="00000000" w:rsidR="00000000" w:rsidRPr="00000000">
        <w:rPr>
          <w:rFonts w:ascii="Roboto" w:cs="Roboto" w:eastAsia="Roboto" w:hAnsi="Roboto"/>
          <w:color w:val="0f1115"/>
          <w:sz w:val="24"/>
          <w:szCs w:val="24"/>
          <w:highlight w:val="white"/>
          <w:rtl w:val="0"/>
        </w:rPr>
        <w:t xml:space="preserve">A more advanced assignment would integrate the breadboard digital twin into a more complex task. For instance, students could design a sophisticated FPGA-based system using Finite State Machines (FSMs). In this scenario, the FSM reads inputs from the virtual switches—which simulate various sensor values—and controls the virtual LEDs on the breadboard to visually represent the different states of the system.</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3"/>
        <w:spacing w:after="0" w:before="0" w:lineRule="auto"/>
        <w:rPr>
          <w:b w:val="1"/>
          <w:bCs w:val="1"/>
          <w:color w:val="000000"/>
          <w:sz w:val="24"/>
          <w:szCs w:val="24"/>
        </w:rPr>
      </w:pPr>
      <w:bookmarkStart w:colFirst="0" w:colLast="0" w:name="_fozoheqm43ed"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4">
      <w:pPr>
        <w:pStyle w:val="Heading1"/>
        <w:rPr/>
      </w:pPr>
      <w:bookmarkStart w:colFirst="0" w:colLast="0" w:name="_jmf8ppajmu4d" w:id="17"/>
      <w:bookmarkEnd w:id="17"/>
      <w:r w:rsidDel="00000000" w:rsidR="00000000" w:rsidRPr="00000000">
        <w:rPr>
          <w:rtl w:val="0"/>
        </w:rPr>
        <w:t xml:space="preserve">6. Suggested Learning Objectives</w:t>
      </w:r>
    </w:p>
    <w:p w:rsidR="00000000" w:rsidDel="00000000" w:rsidP="00000000" w:rsidRDefault="00000000" w:rsidRPr="00000000" w14:paraId="00000075">
      <w:pPr>
        <w:rPr>
          <w:i w:val="1"/>
          <w:iCs w:val="1"/>
          <w:sz w:val="24"/>
          <w:szCs w:val="24"/>
        </w:rPr>
      </w:pPr>
      <w:r w:rsidDel="00000000" w:rsidR="00000000" w:rsidRPr="00000000">
        <w:rPr>
          <w:i w:val="1"/>
          <w:iCs w:val="1"/>
          <w:sz w:val="24"/>
          <w:szCs w:val="24"/>
          <w:rtl w:val="0"/>
        </w:rPr>
        <w:t xml:space="preserve">This section outlines possible learning objectives/topics students could demonstrate using this simulation.</w:t>
      </w:r>
    </w:p>
    <w:p w:rsidR="00000000" w:rsidDel="00000000" w:rsidP="00000000" w:rsidRDefault="00000000" w:rsidRPr="00000000" w14:paraId="00000076">
      <w:pPr>
        <w:rPr>
          <w:sz w:val="24"/>
          <w:szCs w:val="24"/>
        </w:rPr>
      </w:pPr>
      <w:r w:rsidDel="00000000" w:rsidR="00000000" w:rsidRPr="00000000">
        <w:rPr>
          <w:sz w:val="24"/>
          <w:szCs w:val="24"/>
          <w:rtl w:val="0"/>
        </w:rPr>
        <w:t xml:space="preserve">Possible objectives</w:t>
      </w:r>
    </w:p>
    <w:p w:rsidR="00000000" w:rsidDel="00000000" w:rsidP="00000000" w:rsidRDefault="00000000" w:rsidRPr="00000000" w14:paraId="00000077">
      <w:pPr>
        <w:numPr>
          <w:ilvl w:val="0"/>
          <w:numId w:val="1"/>
        </w:numPr>
        <w:ind w:left="720" w:hanging="360"/>
        <w:rPr>
          <w:sz w:val="24"/>
          <w:szCs w:val="24"/>
          <w:u w:val="none"/>
        </w:rPr>
      </w:pPr>
      <w:r w:rsidDel="00000000" w:rsidR="00000000" w:rsidRPr="00000000">
        <w:rPr>
          <w:sz w:val="24"/>
          <w:szCs w:val="24"/>
          <w:rtl w:val="0"/>
        </w:rPr>
        <w:t xml:space="preserve">Interfacing General Purpose Input/Output (GPIO)</w:t>
      </w:r>
    </w:p>
    <w:p w:rsidR="00000000" w:rsidDel="00000000" w:rsidP="00000000" w:rsidRDefault="00000000" w:rsidRPr="00000000" w14:paraId="00000078">
      <w:pPr>
        <w:numPr>
          <w:ilvl w:val="0"/>
          <w:numId w:val="1"/>
        </w:numPr>
        <w:ind w:left="720" w:hanging="360"/>
        <w:rPr>
          <w:sz w:val="24"/>
          <w:szCs w:val="24"/>
          <w:u w:val="none"/>
        </w:rPr>
      </w:pPr>
      <w:r w:rsidDel="00000000" w:rsidR="00000000" w:rsidRPr="00000000">
        <w:rPr>
          <w:sz w:val="24"/>
          <w:szCs w:val="24"/>
          <w:rtl w:val="0"/>
        </w:rPr>
        <w:t xml:space="preserve">Designing and constructing digital circuits</w:t>
      </w:r>
    </w:p>
    <w:p w:rsidR="00000000" w:rsidDel="00000000" w:rsidP="00000000" w:rsidRDefault="00000000" w:rsidRPr="00000000" w14:paraId="00000079">
      <w:pPr>
        <w:numPr>
          <w:ilvl w:val="0"/>
          <w:numId w:val="1"/>
        </w:numPr>
        <w:ind w:left="720" w:hanging="360"/>
        <w:rPr>
          <w:sz w:val="24"/>
          <w:szCs w:val="24"/>
          <w:u w:val="none"/>
        </w:rPr>
      </w:pPr>
      <w:r w:rsidDel="00000000" w:rsidR="00000000" w:rsidRPr="00000000">
        <w:rPr>
          <w:sz w:val="24"/>
          <w:szCs w:val="24"/>
          <w:rtl w:val="0"/>
        </w:rPr>
        <w:t xml:space="preserve">Learning combinational logic</w:t>
      </w:r>
    </w:p>
    <w:p w:rsidR="00000000" w:rsidDel="00000000" w:rsidP="00000000" w:rsidRDefault="00000000" w:rsidRPr="00000000" w14:paraId="0000007A">
      <w:pPr>
        <w:ind w:left="0" w:firstLine="0"/>
        <w:rPr>
          <w:sz w:val="24"/>
          <w:szCs w:val="24"/>
        </w:rPr>
      </w:pPr>
      <w:r w:rsidDel="00000000" w:rsidR="00000000" w:rsidRPr="00000000">
        <w:rPr>
          <w:rtl w:val="0"/>
        </w:rPr>
      </w:r>
    </w:p>
    <w:p w:rsidR="00000000" w:rsidDel="00000000" w:rsidP="00000000" w:rsidRDefault="00000000" w:rsidRPr="00000000" w14:paraId="0000007B">
      <w:pPr>
        <w:ind w:left="0" w:firstLine="0"/>
        <w:rPr>
          <w:sz w:val="24"/>
          <w:szCs w:val="24"/>
        </w:rPr>
      </w:pPr>
      <w:r w:rsidDel="00000000" w:rsidR="00000000" w:rsidRPr="00000000">
        <w:rPr>
          <w:sz w:val="24"/>
          <w:szCs w:val="24"/>
          <w:rtl w:val="0"/>
        </w:rPr>
        <w:t xml:space="preserve">Possible Topics</w:t>
      </w:r>
    </w:p>
    <w:p w:rsidR="00000000" w:rsidDel="00000000" w:rsidP="00000000" w:rsidRDefault="00000000" w:rsidRPr="00000000" w14:paraId="0000007C">
      <w:pPr>
        <w:numPr>
          <w:ilvl w:val="0"/>
          <w:numId w:val="3"/>
        </w:numPr>
        <w:ind w:left="720" w:hanging="360"/>
        <w:rPr>
          <w:sz w:val="24"/>
          <w:szCs w:val="24"/>
          <w:u w:val="none"/>
        </w:rPr>
      </w:pPr>
      <w:r w:rsidDel="00000000" w:rsidR="00000000" w:rsidRPr="00000000">
        <w:rPr>
          <w:sz w:val="24"/>
          <w:szCs w:val="24"/>
          <w:rtl w:val="0"/>
        </w:rPr>
        <w:t xml:space="preserve">GPIO</w:t>
      </w:r>
    </w:p>
    <w:p w:rsidR="00000000" w:rsidDel="00000000" w:rsidP="00000000" w:rsidRDefault="00000000" w:rsidRPr="00000000" w14:paraId="0000007D">
      <w:pPr>
        <w:numPr>
          <w:ilvl w:val="0"/>
          <w:numId w:val="1"/>
        </w:numPr>
        <w:ind w:left="720" w:hanging="360"/>
        <w:rPr>
          <w:sz w:val="24"/>
          <w:szCs w:val="24"/>
          <w:u w:val="none"/>
        </w:rPr>
      </w:pPr>
      <w:r w:rsidDel="00000000" w:rsidR="00000000" w:rsidRPr="00000000">
        <w:rPr>
          <w:sz w:val="24"/>
          <w:szCs w:val="24"/>
          <w:rtl w:val="0"/>
        </w:rPr>
        <w:t xml:space="preserve">Digital Circuit Design</w:t>
      </w:r>
    </w:p>
    <w:p w:rsidR="00000000" w:rsidDel="00000000" w:rsidP="00000000" w:rsidRDefault="00000000" w:rsidRPr="00000000" w14:paraId="0000007E">
      <w:pPr>
        <w:numPr>
          <w:ilvl w:val="0"/>
          <w:numId w:val="1"/>
        </w:numPr>
        <w:ind w:left="720" w:hanging="360"/>
        <w:rPr>
          <w:sz w:val="24"/>
          <w:szCs w:val="24"/>
          <w:u w:val="none"/>
        </w:rPr>
      </w:pPr>
      <w:r w:rsidDel="00000000" w:rsidR="00000000" w:rsidRPr="00000000">
        <w:rPr>
          <w:sz w:val="24"/>
          <w:szCs w:val="24"/>
          <w:rtl w:val="0"/>
        </w:rPr>
        <w:t xml:space="preserve">Common Electronic Parts (LED, Switch, 7400-series ICs)</w:t>
      </w:r>
    </w:p>
    <w:p w:rsidR="00000000" w:rsidDel="00000000" w:rsidP="00000000" w:rsidRDefault="00000000" w:rsidRPr="00000000" w14:paraId="0000007F">
      <w:pPr>
        <w:numPr>
          <w:ilvl w:val="0"/>
          <w:numId w:val="1"/>
        </w:numPr>
        <w:ind w:left="720" w:hanging="360"/>
        <w:rPr>
          <w:sz w:val="24"/>
          <w:szCs w:val="24"/>
          <w:u w:val="none"/>
        </w:rPr>
      </w:pPr>
      <w:r w:rsidDel="00000000" w:rsidR="00000000" w:rsidRPr="00000000">
        <w:rPr>
          <w:sz w:val="24"/>
          <w:szCs w:val="24"/>
          <w:rtl w:val="0"/>
        </w:rPr>
        <w:t xml:space="preserve">Combinational Logic</w:t>
      </w:r>
      <w:r w:rsidDel="00000000" w:rsidR="00000000" w:rsidRPr="00000000">
        <w:rPr>
          <w:rtl w:val="0"/>
        </w:rPr>
      </w:r>
    </w:p>
    <w:p w:rsidR="00000000" w:rsidDel="00000000" w:rsidP="00000000" w:rsidRDefault="00000000" w:rsidRPr="00000000" w14:paraId="00000080">
      <w:pPr>
        <w:pStyle w:val="Heading3"/>
        <w:spacing w:after="0" w:before="0" w:lineRule="auto"/>
        <w:rPr>
          <w:b w:val="1"/>
          <w:bCs w:val="1"/>
          <w:color w:val="000000"/>
          <w:sz w:val="24"/>
          <w:szCs w:val="24"/>
        </w:rPr>
      </w:pPr>
      <w:bookmarkStart w:colFirst="0" w:colLast="0" w:name="_fozoheqm43ed" w:id="6"/>
      <w:bookmarkEnd w:id="6"/>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sectPr>
      <w:headerReference r:id="rId17" w:type="default"/>
      <w:headerReference r:id="rId18" w:type="first"/>
      <w:footerReference r:id="rId19" w:type="default"/>
      <w:footerReference r:id="rId20"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rPr>
        <w:i w:val="1"/>
        <w:iCs w:val="1"/>
      </w:rPr>
    </w:pPr>
    <w:r w:rsidDel="00000000" w:rsidR="00000000" w:rsidRPr="00000000">
      <w:rPr>
        <w:i w:val="1"/>
        <w:iCs w:val="1"/>
      </w:rPr>
      <w:drawing>
        <wp:inline distB="114300" distT="114300" distL="114300" distR="114300">
          <wp:extent cx="890588" cy="316490"/>
          <wp:effectExtent b="0" l="0" r="0" t="0"/>
          <wp:docPr id="9" name="image6.png"/>
          <a:graphic>
            <a:graphicData uri="http://schemas.openxmlformats.org/drawingml/2006/picture">
              <pic:pic>
                <pic:nvPicPr>
                  <pic:cNvPr id="0" name="image6.png"/>
                  <pic:cNvPicPr preferRelativeResize="0"/>
                </pic:nvPicPr>
                <pic:blipFill>
                  <a:blip r:embed="rId1"/>
                  <a:srcRect b="68519" l="0" r="51282" t="0"/>
                  <a:stretch>
                    <a:fillRect/>
                  </a:stretch>
                </pic:blipFill>
                <pic:spPr>
                  <a:xfrm>
                    <a:off x="0" y="0"/>
                    <a:ext cx="890588" cy="31649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This work is licensed under a </w:t>
    </w:r>
    <w:hyperlink r:id="rId2">
      <w:r w:rsidDel="00000000" w:rsidR="00000000" w:rsidRPr="00000000">
        <w:rPr>
          <w:color w:val="1264a3"/>
          <w:rtl w:val="0"/>
        </w:rPr>
        <w:t xml:space="preserve">CC BY 4.0</w:t>
      </w:r>
    </w:hyperlink>
    <w:r w:rsidDel="00000000" w:rsidR="00000000" w:rsidRPr="00000000">
      <w:rPr>
        <w:rtl w:val="0"/>
      </w:rPr>
      <w:t xml:space="preserve">. This project is funded by the </w:t>
    </w:r>
    <w:hyperlink r:id="rId3">
      <w:r w:rsidDel="00000000" w:rsidR="00000000" w:rsidRPr="00000000">
        <w:rPr>
          <w:color w:val="1155cc"/>
          <w:u w:val="single"/>
          <w:rtl w:val="0"/>
        </w:rPr>
        <w:t xml:space="preserve">NSF</w:t>
      </w:r>
    </w:hyperlink>
    <w:r w:rsidDel="00000000" w:rsidR="00000000" w:rsidRPr="00000000">
      <w:rPr>
        <w:rtl w:val="0"/>
      </w:rPr>
      <w:t xml:space="preserv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rPr>
        <w:i w:val="1"/>
        <w:iCs w:val="1"/>
      </w:rPr>
    </w:pPr>
    <w:r w:rsidDel="00000000" w:rsidR="00000000" w:rsidRPr="00000000">
      <w:rPr>
        <w:i w:val="1"/>
        <w:iCs w:val="1"/>
      </w:rPr>
      <w:drawing>
        <wp:inline distB="114300" distT="114300" distL="114300" distR="114300">
          <wp:extent cx="890588" cy="316490"/>
          <wp:effectExtent b="0" l="0" r="0" t="0"/>
          <wp:docPr id="7" name="image6.png"/>
          <a:graphic>
            <a:graphicData uri="http://schemas.openxmlformats.org/drawingml/2006/picture">
              <pic:pic>
                <pic:nvPicPr>
                  <pic:cNvPr id="0" name="image6.png"/>
                  <pic:cNvPicPr preferRelativeResize="0"/>
                </pic:nvPicPr>
                <pic:blipFill>
                  <a:blip r:embed="rId1"/>
                  <a:srcRect b="68519" l="0" r="51282" t="0"/>
                  <a:stretch>
                    <a:fillRect/>
                  </a:stretch>
                </pic:blipFill>
                <pic:spPr>
                  <a:xfrm>
                    <a:off x="0" y="0"/>
                    <a:ext cx="890588" cy="31649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b w:val="1"/>
        <w:bCs w:val="1"/>
        <w:sz w:val="24"/>
        <w:szCs w:val="24"/>
      </w:rPr>
    </w:pPr>
    <w:r w:rsidDel="00000000" w:rsidR="00000000" w:rsidRPr="00000000">
      <w:rPr>
        <w:rtl w:val="0"/>
      </w:rPr>
      <w:t xml:space="preserve">REDTAIL © 2026 by Remote Hub Lab (RHLab) </w:t>
    </w:r>
    <w:r w:rsidDel="00000000" w:rsidR="00000000" w:rsidRPr="00000000">
      <w:rPr>
        <w:rtl w:val="0"/>
      </w:rPr>
      <w:t xml:space="preserve">is licensed under a </w:t>
    </w:r>
    <w:hyperlink r:id="rId2">
      <w:r w:rsidDel="00000000" w:rsidR="00000000" w:rsidRPr="00000000">
        <w:rPr>
          <w:color w:val="1264a3"/>
          <w:rtl w:val="0"/>
        </w:rPr>
        <w:t xml:space="preserve">CC BY 4.0</w:t>
      </w:r>
    </w:hyperlink>
    <w:r w:rsidDel="00000000" w:rsidR="00000000" w:rsidRPr="00000000">
      <w:rPr>
        <w:rtl w:val="0"/>
      </w:rPr>
      <w:t xml:space="preserve">. This project is funded by the </w:t>
    </w:r>
    <w:hyperlink r:id="rId3">
      <w:r w:rsidDel="00000000" w:rsidR="00000000" w:rsidRPr="00000000">
        <w:rPr>
          <w:color w:val="1155cc"/>
          <w:u w:val="single"/>
          <w:rtl w:val="0"/>
        </w:rPr>
        <w:t xml:space="preserve">NSF</w:t>
      </w:r>
    </w:hyperlink>
    <w:r w:rsidDel="00000000" w:rsidR="00000000" w:rsidRPr="00000000">
      <w:rPr>
        <w:rtl w:val="0"/>
      </w:rPr>
      <w:t xml:space="preserve"> under the grant #2336745</w:t>
    </w:r>
    <w:r w:rsidDel="00000000" w:rsidR="00000000" w:rsidRPr="00000000">
      <w:rPr>
        <w:rtl w:val="0"/>
      </w:rPr>
      <w:t xml:space="preserv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rPr/>
    </w:pPr>
    <w:r w:rsidDel="00000000" w:rsidR="00000000" w:rsidRPr="00000000">
      <w:rPr>
        <w:sz w:val="24"/>
        <w:szCs w:val="24"/>
      </w:rPr>
      <w:drawing>
        <wp:inline distB="114300" distT="114300" distL="114300" distR="114300">
          <wp:extent cx="1728788" cy="297016"/>
          <wp:effectExtent b="0" l="0" r="0" t="0"/>
          <wp:docPr id="1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28788" cy="297016"/>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694295" cy="414338"/>
          <wp:effectExtent b="0" l="0" r="0" t="0"/>
          <wp:docPr id="8" name="image4.png"/>
          <a:graphic>
            <a:graphicData uri="http://schemas.openxmlformats.org/drawingml/2006/picture">
              <pic:pic>
                <pic:nvPicPr>
                  <pic:cNvPr id="0" name="image4.png"/>
                  <pic:cNvPicPr preferRelativeResize="0"/>
                </pic:nvPicPr>
                <pic:blipFill>
                  <a:blip r:embed="rId2"/>
                  <a:srcRect b="19929" l="0" r="0" t="19929"/>
                  <a:stretch>
                    <a:fillRect/>
                  </a:stretch>
                </pic:blipFill>
                <pic:spPr>
                  <a:xfrm>
                    <a:off x="0" y="0"/>
                    <a:ext cx="694295" cy="41433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360" w:lineRule="auto"/>
    </w:pPr>
    <w:rPr>
      <w:b w:val="1"/>
      <w:bCs w:val="1"/>
      <w:sz w:val="36"/>
      <w:szCs w:val="36"/>
    </w:rPr>
  </w:style>
  <w:style w:type="paragraph" w:styleId="Heading2">
    <w:name w:val="heading 2"/>
    <w:basedOn w:val="Normal"/>
    <w:next w:val="Normal"/>
    <w:pPr>
      <w:keepNext w:val="1"/>
      <w:keepLines w:val="1"/>
      <w:spacing w:after="80" w:before="280" w:lineRule="auto"/>
    </w:pPr>
    <w:rPr>
      <w:b w:val="1"/>
      <w:bCs w:val="1"/>
      <w:sz w:val="28"/>
      <w:szCs w:val="28"/>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1.png"/><Relationship Id="rId10" Type="http://schemas.openxmlformats.org/officeDocument/2006/relationships/image" Target="media/image8.png"/><Relationship Id="rId13" Type="http://schemas.openxmlformats.org/officeDocument/2006/relationships/image" Target="media/image10.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5.png"/><Relationship Id="rId14" Type="http://schemas.openxmlformats.org/officeDocument/2006/relationships/image" Target="media/image12.png"/><Relationship Id="rId17" Type="http://schemas.openxmlformats.org/officeDocument/2006/relationships/header" Target="header1.xm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4.png"/><Relationship Id="rId18" Type="http://schemas.openxmlformats.org/officeDocument/2006/relationships/header" Target="header2.xml"/><Relationship Id="rId7" Type="http://schemas.openxmlformats.org/officeDocument/2006/relationships/image" Target="media/image3.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https://creativecommons.org/licenses/by/4.0/" TargetMode="External"/><Relationship Id="rId3" Type="http://schemas.openxmlformats.org/officeDocument/2006/relationships/hyperlink" Target="https://www.nsf.g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https://creativecommons.org/licenses/by/4.0/" TargetMode="External"/><Relationship Id="rId3" Type="http://schemas.openxmlformats.org/officeDocument/2006/relationships/hyperlink" Target="https://www.nsf.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